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Friday de Casaktua: Más de 1.000 viviendas con una rebaja media del 50% respecto al precio de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inmobiliario busca facilitar el acceso a una primera vivienda en propiedad ofreciendo activos residenciales a un precio medio situado en los 73.000 euros. La promoción durará hasta el 31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la campaña Black Friday de Casaktua.com viene pisando fuerte. El próximo día 23 de noviembre el portal inmobiliario dará el pistoletazo de salida a unas rebajas inmobiliarias que estarán activas hasta el 31 de diciembre.</w:t>
            </w:r>
          </w:p>
          <w:p>
            <w:pPr>
              <w:ind w:left="-284" w:right="-427"/>
              <w:jc w:val="both"/>
              <w:rPr>
                <w:rFonts/>
                <w:color w:val="262626" w:themeColor="text1" w:themeTint="D9"/>
              </w:rPr>
            </w:pPr>
            <w:r>
              <w:t>El sector ha experimentado una evolución al alza en España que, según los expertos, se mantendrá hasta el año 2020. Sin embargo, los altos precios de la vivienda, que rondan los 1.588 €/m2 según el Ministerio de Fomento, están provocando que la mayoría de la demanda recaiga, principalmente, en el mercado de reposición. Es decir, gran parte de los que acceden a un inmueble en propiedad son antiguos propietarios que venden su casa para adquirir una nueva, dejándose fuera del mercado a todos aquellos que quieren obtener su primera vivienda en propiedad.</w:t>
            </w:r>
          </w:p>
          <w:p>
            <w:pPr>
              <w:ind w:left="-284" w:right="-427"/>
              <w:jc w:val="both"/>
              <w:rPr>
                <w:rFonts/>
                <w:color w:val="262626" w:themeColor="text1" w:themeTint="D9"/>
              </w:rPr>
            </w:pPr>
            <w:r>
              <w:t>Así, la campaña de Casaktua.com por el Black Friday pone a disposición de estos potenciales compradores más de 1.000 viviendas repartidas por todo el territorio nacional, con un precio medio del m² rebajado más del 50% en comparación con el coste de mercado.</w:t>
            </w:r>
          </w:p>
          <w:p>
            <w:pPr>
              <w:ind w:left="-284" w:right="-427"/>
              <w:jc w:val="both"/>
              <w:rPr>
                <w:rFonts/>
                <w:color w:val="262626" w:themeColor="text1" w:themeTint="D9"/>
              </w:rPr>
            </w:pPr>
            <w:r>
              <w:t>Se trataría de inmuebles residenciales de todas las tipologías -pisos, chalés, áticos, dúplex y estudios- con un precio promedio situado en los 73.000 euros (702 €/m2), una superficie de 104m² y tres dormitorios, de media.</w:t>
            </w:r>
          </w:p>
          <w:p>
            <w:pPr>
              <w:ind w:left="-284" w:right="-427"/>
              <w:jc w:val="both"/>
              <w:rPr>
                <w:rFonts/>
                <w:color w:val="262626" w:themeColor="text1" w:themeTint="D9"/>
              </w:rPr>
            </w:pPr>
            <w:r>
              <w:t>Además, con el fin de facilitar el acceso al mercado inmobiliario terciario, la campaña incluye también locales con un coste promedio de 104.000 € y 139 m² de media; naves a 160.400 euros y 765 m² de promedio y suelos a 182.800 euros y 1.498 m² de media.</w:t>
            </w:r>
          </w:p>
          <w:p>
            <w:pPr>
              <w:ind w:left="-284" w:right="-427"/>
              <w:jc w:val="both"/>
              <w:rPr>
                <w:rFonts/>
                <w:color w:val="262626" w:themeColor="text1" w:themeTint="D9"/>
              </w:rPr>
            </w:pPr>
            <w:r>
              <w:t>Las comunidades autónomas con mayor oferta serían Andalucía (300 inmuebles), Comunidad Valenciana (280), Cataluña (200), Castilla y León (150), Aragón (130), Castilla- La Mancha (110) y Región de Murcia (70).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https://www.notasdeprensa.es/black-friday-de-casaktua-mas-de-1-000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