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eólica vuelve a provocar precios negativos en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AleaSoft analiza los precios en los mercados de combustibles, derechos de emisiones de CO2, mercados eléctricos europeos y producción con renovables en la segunda semana de mayo. En esta segunda semana de mayo, la producción eólica ha hundido los precios horarios de los mercados de electricidad del centro de Europa durante unas horas, si bien los precios medios diarios se han mantenido a flote por encima de los cero €/MWh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precios de los futuros del petróleo Brent para julio de 2019 en el mercado ICE continuaron la tendencia decreciente, cerrando el viernes 10 a 70,62 $/bbl, algo menor que al cierre de la semana anterior. Lo más destacado de la semana que finalizó es que por primera vez desde el 5 de abril el precio estuvo por debajo de los 70 $/bbl, descendiendo a 69,88 $/bbl al cierre del martes 7 de mayo.</w:t>
            </w:r>
          </w:p>
          <w:p>
            <w:pPr>
              <w:ind w:left="-284" w:right="-427"/>
              <w:jc w:val="both"/>
              <w:rPr>
                <w:rFonts/>
                <w:color w:val="262626" w:themeColor="text1" w:themeTint="D9"/>
              </w:rPr>
            </w:pPr>
            <w:r>
              <w:t>En una situación normal pudiera decirse que 70 $/bbl es un punto de estabilidad y que ese precio se pudiera mantener en el corto plazo, pero la situación prebélica que ha provocado que Irán amenace con abandonar parte de sus compromisos con respecto a su programa nuclear auguran subidas del precio del Brent, ya que el 30% de la producción mundial de petróleo pasa por el estrecho de Ormuz. Por otra parte, la situación en Venezuela parece que solo puede ir a peor en el corto plazo. La OPEP debe mantener el compromiso de cubrir la demanda de petróleo para que el precio no aumente.</w:t>
            </w:r>
          </w:p>
          <w:p>
            <w:pPr>
              <w:ind w:left="-284" w:right="-427"/>
              <w:jc w:val="both"/>
              <w:rPr>
                <w:rFonts/>
                <w:color w:val="262626" w:themeColor="text1" w:themeTint="D9"/>
              </w:rPr>
            </w:pPr>
            <w:r>
              <w:t>Los futuros de gas TTF en el mercado ICE para junio cerraron el viernes 10 de mayo a 14,00 €/MWh manteniéndose los precios con valores estables desde el 18 de abril cuando estaban a 14,60 €/MWh, creando una banda entre los 14,00 €/MWh y los 14,60 €/MWh.</w:t>
            </w:r>
          </w:p>
          <w:p>
            <w:pPr>
              <w:ind w:left="-284" w:right="-427"/>
              <w:jc w:val="both"/>
              <w:rPr>
                <w:rFonts/>
                <w:color w:val="262626" w:themeColor="text1" w:themeTint="D9"/>
              </w:rPr>
            </w:pPr>
            <w:r>
              <w:t>El precio de los futuros del carbón API 2 en el mercado ICE para el mes de junio cerró el viernes 10 de mayo con un valor de 61,50 $/t. Desde el 24 de abril los precios han fluctuado entre los 60 y 64 €/MWh.</w:t>
            </w:r>
          </w:p>
          <w:p>
            <w:pPr>
              <w:ind w:left="-284" w:right="-427"/>
              <w:jc w:val="both"/>
              <w:rPr>
                <w:rFonts/>
                <w:color w:val="262626" w:themeColor="text1" w:themeTint="D9"/>
              </w:rPr>
            </w:pPr>
            <w:r>
              <w:t>El precio de los futuros de derechos de emisiones de CO2 en el mercado EEX, para el contrato de referencia de diciembre de 2019 cerró a 25,61 €/t el viernes 10 de mayo. El miércoles 8 de mayo el precio tuvo un pico hasta alcanzar los 26,92 €/t. Desde que se confirmó el 11 de abril que el Brexit se alejaba hasta octubre, los precios de las emisiones de CO2 han aumentado hasta sobrepasar los 27 €/t y también se incrementaron las fluctuaciones, que se sitúan en una banda entre los 24,70 €/t y 27,54 €/t.</w:t>
            </w:r>
          </w:p>
          <w:p>
            <w:pPr>
              <w:ind w:left="-284" w:right="-427"/>
              <w:jc w:val="both"/>
              <w:rPr>
                <w:rFonts/>
                <w:color w:val="262626" w:themeColor="text1" w:themeTint="D9"/>
              </w:rPr>
            </w:pPr>
            <w:r>
              <w:t>Mercados eléctricos europeosDesde el 1 de abril los precios en Europa han tenido una cierta estabilidad. Se ha compensado el aumento de los precios de las emisiones de CO2 con la disminución de los precios del gas y el carbón y además con el ligero descenso de las demandas de electricidad producto de las mejores condiciones meteorológicas de la primavera, con temperaturas algo más elevadas y más horas de sol en este período de 40 días. Las fluctuaciones de precios en este período son debidas fundamentalmente a las variaciones en la producción eólica, sobre todo en Alemania y España que son los líderes europeos generando energía con esta tecnología. En el caso de Alemania, los precios pudieran haber estado estables en 40 €/MWh pero cuando ha habido mucho viento han caído por debajo de este valor, incluso han sido negativos el 22 de abril con -14 €/MWh. En el mercado eléctrico español las fluctuaciones de la producción eólica han provocado precios en la banda entre 40 €/MWh y 60 €/MWh. También en este período de 40 días ha habido fluctuaciones en la temperatura y en la producción solar.</w:t>
            </w:r>
          </w:p>
          <w:p>
            <w:pPr>
              <w:ind w:left="-284" w:right="-427"/>
              <w:jc w:val="both"/>
              <w:rPr>
                <w:rFonts/>
                <w:color w:val="262626" w:themeColor="text1" w:themeTint="D9"/>
              </w:rPr>
            </w:pPr>
            <w:r>
              <w:t>En la segunda semana de este mes de mayo, comparada con la anterior en que estaba el primero de mayo que es fiesta nacional en la mayoría de los países y que fue un miércoles, los precios aumentaron debido al incremento de la demanda, excepto en España y Portugal en que los precios disminuyeron producto de una producción eólica mayor.</w:t>
            </w:r>
          </w:p>
          <w:p>
            <w:pPr>
              <w:ind w:left="-284" w:right="-427"/>
              <w:jc w:val="both"/>
              <w:rPr>
                <w:rFonts/>
                <w:color w:val="262626" w:themeColor="text1" w:themeTint="D9"/>
              </w:rPr>
            </w:pPr>
            <w:r>
              <w:t>En el grupo de mercados con precios más altos, en la segunda de semana de mayo siguen estando el mercado N2EX de Gran Bretaña, el mercado italiano IPEX y el mercado MIBEL de España y Portugal. Durante la semana han tenido de media unos precios de 50 €/MWh de forma similar a la semana anterior.</w:t>
            </w:r>
          </w:p>
          <w:p>
            <w:pPr>
              <w:ind w:left="-284" w:right="-427"/>
              <w:jc w:val="both"/>
              <w:rPr>
                <w:rFonts/>
                <w:color w:val="262626" w:themeColor="text1" w:themeTint="D9"/>
              </w:rPr>
            </w:pPr>
            <w:r>
              <w:t>En el grupo con precios de mercado más bajos de la semana se encuentran el mercado Nord Pool y los mercados EPEX SPOT de Bélgica, Países Bajos, Francia y Alemania con un precio medio semanal de 41,34 €/MWh. Entre estos mercados, Alemania, Francia y Bélgica registraron precios negativos durante algunas horas del domingo 12 de mayo, pero sin llegar a registrar un precio promedio diario por debajo de cero. Los precios más bajos fueron durante la hora 16 con Alemania a la cabeza con -22,96 €/MWh, seguido por Francia con -12,27 €/MWh y Bélgica con -8,39 €/MWh. Otros mercados conectados también se vieron arrastrados a precios negativos en algunas horas: Dinamarca, Austria y Suiza.</w:t>
            </w:r>
          </w:p>
          <w:p>
            <w:pPr>
              <w:ind w:left="-284" w:right="-427"/>
              <w:jc w:val="both"/>
              <w:rPr>
                <w:rFonts/>
                <w:color w:val="262626" w:themeColor="text1" w:themeTint="D9"/>
              </w:rPr>
            </w:pPr>
            <w:r>
              <w:t>Futuros de electricidadLos precios de los futuros de electricidad europeos para el tercer trimestre de 2019 subieron en la mayoría de los mercados entre un 0,3% y un 1,6% el viernes 10 de mayo en comparación con el viernes de la semana anterior. Para el caso del mercado OMIP de España y Portugal, así como el mercado MTE operado por GME, se mantienen sin cambio, mientras que para UK bajó tanto en el mercado ICE como en EEX.</w:t>
            </w:r>
          </w:p>
          <w:p>
            <w:pPr>
              <w:ind w:left="-284" w:right="-427"/>
              <w:jc w:val="both"/>
              <w:rPr>
                <w:rFonts/>
                <w:color w:val="262626" w:themeColor="text1" w:themeTint="D9"/>
              </w:rPr>
            </w:pPr>
            <w:r>
              <w:t>En el caso de los futuros para el 2020 el increment fue más generalizado entre un 0,5% y 1,4%. Solo se mantuvo invariable el mercado MTE operado por GME y bajaron los mercados ICE y EEX de UK, al igual que el futuro para el tercer trimestre de este año.</w:t>
            </w:r>
          </w:p>
          <w:p>
            <w:pPr>
              <w:ind w:left="-284" w:right="-427"/>
              <w:jc w:val="both"/>
              <w:rPr>
                <w:rFonts/>
                <w:color w:val="262626" w:themeColor="text1" w:themeTint="D9"/>
              </w:rPr>
            </w:pPr>
            <w:r>
              <w:t>Producción eólica y solarEn la segunda semana de mayo, la producción eólica tuvo un aumento en los principales mercados europeos excepto en Alemania con una reducción del 3,3%. El aumento en Francia fue de un 58%, en Portugal, de 99%, en España, de 36%, y en Italia, de un 37%.</w:t>
            </w:r>
          </w:p>
          <w:p>
            <w:pPr>
              <w:ind w:left="-284" w:right="-427"/>
              <w:jc w:val="both"/>
              <w:rPr>
                <w:rFonts/>
                <w:color w:val="262626" w:themeColor="text1" w:themeTint="D9"/>
              </w:rPr>
            </w:pPr>
            <w:r>
              <w:t>Para la semana actual, tercera semana de mayo, se pronostica una disminución de la producción eólica después de la subida de la semana anterior. La caída más pronunciada se espera en Italia y Portugal, algo menor en España y Francia, e incluso un ligero incremento en Alemania.</w:t>
            </w:r>
          </w:p>
          <w:p>
            <w:pPr>
              <w:ind w:left="-284" w:right="-427"/>
              <w:jc w:val="both"/>
              <w:rPr>
                <w:rFonts/>
                <w:color w:val="262626" w:themeColor="text1" w:themeTint="D9"/>
              </w:rPr>
            </w:pPr>
            <w:r>
              <w:t>En cuanto a la producción solar, que incluye la tecnología fotovoltaica y termosolar, durante la segunda semana de mayo ha bajado un 4,3% en Alemania, mientras en España la disminución alcanzó el 20% con respecto a la semana anterior. Por su lado, en Italia la semana anterior registró un incremento del 5,3% en la producción de energía solar.</w:t>
            </w:r>
          </w:p>
          <w:p>
            <w:pPr>
              <w:ind w:left="-284" w:right="-427"/>
              <w:jc w:val="both"/>
              <w:rPr>
                <w:rFonts/>
                <w:color w:val="262626" w:themeColor="text1" w:themeTint="D9"/>
              </w:rPr>
            </w:pPr>
            <w:r>
              <w:t>Para la semana actual se prevé una caída de la producción solar en Italia de cerca del 20%, mientras que en Alemania y en España la tendencia se espera al alza entre un 15% y un 20%.</w:t>
            </w:r>
          </w:p>
          <w:p>
            <w:pPr>
              <w:ind w:left="-284" w:right="-427"/>
              <w:jc w:val="both"/>
              <w:rPr>
                <w:rFonts/>
                <w:color w:val="262626" w:themeColor="text1" w:themeTint="D9"/>
              </w:rPr>
            </w:pPr>
            <w:r>
              <w:t>Para más información, dirigirse al siguiente enlace:</w:t>
            </w:r>
          </w:p>
          <w:p>
            <w:pPr>
              <w:ind w:left="-284" w:right="-427"/>
              <w:jc w:val="both"/>
              <w:rPr>
                <w:rFonts/>
                <w:color w:val="262626" w:themeColor="text1" w:themeTint="D9"/>
              </w:rPr>
            </w:pPr>
            <w:r>
              <w:t>https://aleasoft.com/es/eolica-vuelve-provocar-precios-negativos-mercados-electricos-europeos/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https://www.notasdeprensa.es/aleasoft-la-eolica-vuelve-a-provocar-precios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