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El precio del carbón frena su caída, el Brent lo intenta sin éxito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bajada del precio del carbón europeo y del petróleo Brent ha sido continua desde octubre. Esta semana, el carbón ha logrado frenar la bajada y se ha recuperado levemente. El petróleo Brent mostraba indicios de una leve recuperación a principios de semana, pero el incremento de la producción mundial ha podido más y hoy continúa cayendo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precio del carbón europeo API2 se ha estabilizado y el futuro para enero aumenta esta semana un 1,4% después de cuatro semanas consecutivas a la baja. Esta frenada en la bajada del precio del carbón está relacionada con la ralentización de la caída del precio del Brent y el incremento del precio del gas, pero tiene un sustento débil en cuanto al equilibrio entre oferta y demanda, según AleaSoft.</w:t>
            </w:r>
          </w:p>
          <w:p>
            <w:pPr>
              <w:ind w:left="-284" w:right="-427"/>
              <w:jc w:val="both"/>
              <w:rPr>
                <w:rFonts/>
                <w:color w:val="262626" w:themeColor="text1" w:themeTint="D9"/>
              </w:rPr>
            </w:pPr>
            <w:r>
              <w:t>El viernes 23 de noviembre el precio del futuro del barril de petróleo Brent para enero se situó por debajo de los $60 el barril y marcó el mínimo anual. De momento, esta semana el precio se ha mantenido por encima de los $60 el lunes y el martes, pese a los rumores del incremento de la producción. La caída de ayer miércoles 28 de noviembre a $58,76 indica que el repunte se trataba de un ajuste después de la bajada del 6,1% del pasado viernes 23 de noviembre.</w:t>
            </w:r>
          </w:p>
          <w:p>
            <w:pPr>
              <w:ind w:left="-284" w:right="-427"/>
              <w:jc w:val="both"/>
              <w:rPr>
                <w:rFonts/>
                <w:color w:val="262626" w:themeColor="text1" w:themeTint="D9"/>
              </w:rPr>
            </w:pPr>
            <w:r>
              <w:t>Por su lado, el precio del gas TTF se está manteniendo al nivel de la semana pasada con un ligero incremento del 0,7% con respecto a la anterior.</w:t>
            </w:r>
          </w:p>
          <w:p>
            <w:pPr>
              <w:ind w:left="-284" w:right="-427"/>
              <w:jc w:val="both"/>
              <w:rPr>
                <w:rFonts/>
                <w:color w:val="262626" w:themeColor="text1" w:themeTint="D9"/>
              </w:rPr>
            </w:pPr>
            <w:r>
              <w:t>El precio de los derechos de emisiones de CO2 ha bajado esta semana un 2,1% respecto a la semana pasada, pero continúa estable entre los 19 y 21 € por tonelada, ya por tercera semana seguida.</w:t>
            </w:r>
          </w:p>
          <w:p>
            <w:pPr>
              <w:ind w:left="-284" w:right="-427"/>
              <w:jc w:val="both"/>
              <w:rPr>
                <w:rFonts/>
                <w:color w:val="262626" w:themeColor="text1" w:themeTint="D9"/>
              </w:rPr>
            </w:pPr>
            <w:r>
              <w:t>Los precios de los futuros de electricidad para diciembre en los mercados europeos han retrocedido esta semana por la revisión de las previsiones meteorológicas que indican que el invierno será suave en cuanto a temperaturas. Los futuros de OMIP para España y Portugal para diciembre han caído esta semana un 2,2%. El futuro para Francia ha bajado un 5,1%, y el de Alemania, un 3,0%.</w:t>
            </w:r>
          </w:p>
          <w:p>
            <w:pPr>
              <w:ind w:left="-284" w:right="-427"/>
              <w:jc w:val="both"/>
              <w:rPr>
                <w:rFonts/>
                <w:color w:val="262626" w:themeColor="text1" w:themeTint="D9"/>
              </w:rPr>
            </w:pPr>
            <w:r>
              <w:t>Mercados diarios de electricidadDespués de los picos de precio ocurridos en varios mercados spot de electricidad europeos durante la semana pasada y principios de esta, y de los que el mercado ibérico MIBEL consiguió aislarse, los precios han vuelto a converger justo por encima de los 60 €/MWh. Las excepciones han sido Alemania y el Nord Pool, que gracias a la producción eólica se han situado en los 50 €/MWh. Aun así, esta semana, el precio del Nord Pool, tradicionalmente el más bajo del continente, registró un precio de 64,29 para el martes 27 de noviembre, el segundo precio más alto de todo el año.</w:t>
            </w:r>
          </w:p>
          <w:p>
            <w:pPr>
              <w:ind w:left="-284" w:right="-427"/>
              <w:jc w:val="both"/>
              <w:rPr>
                <w:rFonts/>
                <w:color w:val="262626" w:themeColor="text1" w:themeTint="D9"/>
              </w:rPr>
            </w:pPr>
            <w:r>
              <w:t>España peninsularLas temperaturas continúan bajando, aunque se mantienen en los valores típicos para la época del año. Esta semana del 26 de noviembre, AleaSoft prevé un incremento de la demanda de electricidad del 1,9%. Para la semana que viene del 3 de diciembre, las previsiones de AleaSoft muestran un incremento medio de las temperaturas de 1,6°C en la península y una bajada de la demanda del 0,7%, una vez corregido el efecto de los festivos del 6 y 8 de diciembre.</w:t>
            </w:r>
          </w:p>
          <w:p>
            <w:pPr>
              <w:ind w:left="-284" w:right="-427"/>
              <w:jc w:val="both"/>
              <w:rPr>
                <w:rFonts/>
                <w:color w:val="262626" w:themeColor="text1" w:themeTint="D9"/>
              </w:rPr>
            </w:pPr>
            <w:r>
              <w:t>El nivel de las reservas de agua en las presas hidroeléctricas ya ha comenzado a remontar después de su bajada estacional del verano. Según datos del Ministerio para la Transición Ecológica, después del mínimo anual a finales de octubre, el nivel de las reservas ha crecido un 2,1% y se sitúan a al 59,3% de su capacidad total, ligeramente inferior a la media de los últimos 10 años.</w:t>
            </w:r>
          </w:p>
          <w:p>
            <w:pPr>
              <w:ind w:left="-284" w:right="-427"/>
              <w:jc w:val="both"/>
              <w:rPr>
                <w:rFonts/>
                <w:color w:val="262626" w:themeColor="text1" w:themeTint="D9"/>
              </w:rPr>
            </w:pPr>
            <w:r>
              <w:t>Para más información, es posible dirigirse al siguiente enlace: https://aleasoft.com/es/precio-carbon-frena-caida-brent-intenta-sin-exito/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https://www.notasdeprensa.es/aleasoft-el-precio-del-carbon-frena-su-caida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