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Brent cae bruscamente un 7% en pocas horas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precio de los futuros de Brent se desploma alrededor de un 7% en pocas horas, y refuerza la desconfianza frente a una nueva crisis mundial. AleaSoft ve posible que los precios de los combustibles, gas y carbón, y de las emisiones de CO2 se vean arrastrados también a la baja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Ayer miércoles el precio del futuro de petróleo Brent de referencia en Europa cayó bruscamente un 6,9% hasta los $73,4 por barril, después de haber estado registrando subidas diarias durante los últimos días, llegándose a especular incluso que podría llegar a superar la barrera de los $80 antes de acabar la semana. La principal causa parece ser el clima pesimista frente al miedo a una crisis mundial, según AleaSoft, por los desacuerdos entre las principales potencias mundiales tanto comerciales como productoras de petróleo.</w:t>
            </w:r>
          </w:p>
          <w:p>
            <w:pPr>
              <w:ind w:left="-284" w:right="-427"/>
              <w:jc w:val="both"/>
              <w:rPr>
                <w:rFonts/>
                <w:color w:val="262626" w:themeColor="text1" w:themeTint="D9"/>
              </w:rPr>
            </w:pPr>
            <w:r>
              <w:t>El precio de los combustibles para la generación de electricidad ha seguido una tendencia alcista durante los últimos siete días, acompañando la subida del Brent antes del brusco desplome. El precio del carbón se ha revalorizado un 2,8% en la última semana y ha superado ya los $100 por tonelada. Por su lado, en este mismo periodo, el precio de las emisiones de CO2 ha registrado un aumento del 4,1%, y vuelve a estar por encima de los 16 €/tonelada. Ante esta situación, AleaSoft ve probable que la caída del precio del Brent de ayer miércoles 11 de julio arrastre a la baja el precio del gas y del carbón, y el de los derechos de emisión de CO2.</w:t>
            </w:r>
          </w:p>
          <w:p>
            <w:pPr>
              <w:ind w:left="-284" w:right="-427"/>
              <w:jc w:val="both"/>
              <w:rPr>
                <w:rFonts/>
                <w:color w:val="262626" w:themeColor="text1" w:themeTint="D9"/>
              </w:rPr>
            </w:pPr>
            <w:r>
              <w:t>El comportamiento del precio de los combustibles y de las emisiones de CO2 en los últimos días ha empujado al alza los futuros de electricidad. El producto Q4-18 del mercado español de futuros de electricidad OMIP cerró ayer miércoles 11 de julio en 66,42 €/MWh, 1,32 €/MWh más que hace siete días. Según AleaSoft, el precio de los futuros de electricidad puede relajarse si, como es previsible, el precio de los combustibles y de las emisiones de CO2 retroceden.</w:t>
            </w:r>
          </w:p>
          <w:p>
            <w:pPr>
              <w:ind w:left="-284" w:right="-427"/>
              <w:jc w:val="both"/>
              <w:rPr>
                <w:rFonts/>
                <w:color w:val="262626" w:themeColor="text1" w:themeTint="D9"/>
              </w:rPr>
            </w:pPr>
            <w:r>
              <w:t>Durante los últimos días se ha registrado un aumento importante de las temperaturas en lo que podría ser la primera ola de calor de este verano. El martes 10 se registró una temperatura media de 25,5°C en España peninsular, 2,1°C por encima de la media histórica para esta época del año, según los datos analizados por AleaSoft.</w:t>
            </w:r>
          </w:p>
          <w:p>
            <w:pPr>
              <w:ind w:left="-284" w:right="-427"/>
              <w:jc w:val="both"/>
              <w:rPr>
                <w:rFonts/>
                <w:color w:val="262626" w:themeColor="text1" w:themeTint="D9"/>
              </w:rPr>
            </w:pPr>
            <w:r>
              <w:t>Estos primeros días de julio han venido marcados por un aumento de la producción con carbón, en detrimento de la producción hidráulica que ha visto como sus reservas han dejado de crecer por la disminución estacional de las lluvias en verano, pero, aun así, se encuentran a un 113,6% de la media de los últimos diez años.</w:t>
            </w:r>
          </w:p>
          <w:p>
            <w:pPr>
              <w:ind w:left="-284" w:right="-427"/>
              <w:jc w:val="both"/>
              <w:rPr>
                <w:rFonts/>
                <w:color w:val="262626" w:themeColor="text1" w:themeTint="D9"/>
              </w:rPr>
            </w:pPr>
            <w:r>
              <w:t>La reconexión de la central nuclear de Vandellós II es inminente. Inicialmente programada para principios de esta semana, se ha ido posponiendo, hasta el sábado, de momento. Sobre el parque nuclear español, el gobierno ha hecho pública su voluntad de ir cerrando progresivamente todas las centrales a medida que lleguen a los 40 años de vida. Ello conduciría a que en 2028 se cerrara la última central nuclear en la península. Sobre las centrales de carbón, la intención del gobierno es haber cerrado en 2020 la mitad de las centrales actuales.</w:t>
            </w:r>
          </w:p>
          <w:p>
            <w:pPr>
              <w:ind w:left="-284" w:right="-427"/>
              <w:jc w:val="both"/>
              <w:rPr>
                <w:rFonts/>
                <w:color w:val="262626" w:themeColor="text1" w:themeTint="D9"/>
              </w:rPr>
            </w:pPr>
            <w:r>
              <w:t>Los precios de los principales mercados spot de electricidad en Europa se mantienen altos desde comienzos de este mes de julio, con España, Portugal, Reino Unido e Italia como los más caros por encima de los 60 €/MWh, y Francia, Alemania y los países nórdicos en una franja de precios menor, justo por encima de los 50 €/MWh.</w:t>
            </w:r>
          </w:p>
          <w:p>
            <w:pPr>
              <w:ind w:left="-284" w:right="-427"/>
              <w:jc w:val="both"/>
              <w:rPr>
                <w:rFonts/>
                <w:color w:val="262626" w:themeColor="text1" w:themeTint="D9"/>
              </w:rPr>
            </w:pPr>
            <w:r>
              <w:t>Para más información se puede consultar el siguiente enlace: https://aleasoft.com/es/brent-cae-bruscamente-pocas-horas/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628278623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https://www.notasdeprensa.es/aleasoft-el-brent-cae-bruscamente-un-7-en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